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both"/>
        <w:rPr>
          <w:i/>
          <w:sz w:val="16"/>
        </w:rPr>
      </w:pPr>
      <w:r>
        <w:rPr>
          <w:i/>
          <w:sz w:val="16"/>
        </w:rPr>
        <w:tab/>
      </w:r>
    </w:p>
    <w:p w:rsidR="007E75A4" w:rsidRPr="00712712" w:rsidRDefault="007E75A4" w:rsidP="00712712">
      <w:pPr>
        <w:jc w:val="both"/>
        <w:rPr>
          <w:sz w:val="24"/>
          <w:szCs w:val="24"/>
        </w:rPr>
      </w:pPr>
    </w:p>
    <w:p w:rsidR="00524AA1" w:rsidRPr="00C606C5" w:rsidRDefault="00524AA1" w:rsidP="00524AA1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7E75A4" w:rsidRPr="0069345E" w:rsidRDefault="007E75A4" w:rsidP="008A5F74">
      <w:pPr>
        <w:tabs>
          <w:tab w:val="left" w:pos="3348"/>
        </w:tabs>
        <w:jc w:val="center"/>
        <w:rPr>
          <w:b/>
        </w:rPr>
      </w:pPr>
    </w:p>
    <w:p w:rsidR="00D05FB5" w:rsidRPr="0069345E" w:rsidRDefault="007E75A4" w:rsidP="00354C33">
      <w:pPr>
        <w:pStyle w:val="Nadpis4"/>
        <w:rPr>
          <w:sz w:val="22"/>
          <w:szCs w:val="22"/>
        </w:rPr>
      </w:pPr>
      <w:r w:rsidRPr="0069345E">
        <w:rPr>
          <w:sz w:val="22"/>
          <w:szCs w:val="22"/>
        </w:rPr>
        <w:t xml:space="preserve">z vyhodnotenia </w:t>
      </w:r>
      <w:r w:rsidR="00E72F9A" w:rsidRPr="0069345E">
        <w:rPr>
          <w:sz w:val="22"/>
          <w:szCs w:val="22"/>
        </w:rPr>
        <w:t xml:space="preserve"> </w:t>
      </w:r>
      <w:r w:rsidR="004F5B08" w:rsidRPr="0069345E">
        <w:rPr>
          <w:sz w:val="22"/>
          <w:szCs w:val="22"/>
        </w:rPr>
        <w:t xml:space="preserve">I. kola </w:t>
      </w:r>
      <w:r w:rsidR="008A5F74" w:rsidRPr="0069345E">
        <w:rPr>
          <w:sz w:val="22"/>
          <w:szCs w:val="22"/>
        </w:rPr>
        <w:t xml:space="preserve">vyhlásenia </w:t>
      </w:r>
      <w:r w:rsidR="00E72F9A" w:rsidRPr="0069345E">
        <w:rPr>
          <w:sz w:val="22"/>
          <w:szCs w:val="22"/>
        </w:rPr>
        <w:t xml:space="preserve"> </w:t>
      </w:r>
      <w:r w:rsidR="008A5F74" w:rsidRPr="0069345E">
        <w:rPr>
          <w:sz w:val="22"/>
          <w:szCs w:val="22"/>
        </w:rPr>
        <w:t>elektronicke</w:t>
      </w:r>
      <w:r w:rsidR="00D05FB5" w:rsidRPr="0069345E">
        <w:rPr>
          <w:sz w:val="22"/>
          <w:szCs w:val="22"/>
        </w:rPr>
        <w:t xml:space="preserve">j aukcie  </w:t>
      </w:r>
      <w:r w:rsidR="00CC455E" w:rsidRPr="0069345E">
        <w:rPr>
          <w:b w:val="0"/>
          <w:sz w:val="22"/>
          <w:szCs w:val="22"/>
        </w:rPr>
        <w:t>(</w:t>
      </w:r>
      <w:r w:rsidR="004F5B08" w:rsidRPr="0069345E">
        <w:rPr>
          <w:b w:val="0"/>
          <w:sz w:val="22"/>
          <w:szCs w:val="22"/>
        </w:rPr>
        <w:t>ďalej len „VEA“</w:t>
      </w:r>
      <w:r w:rsidR="00CC455E" w:rsidRPr="0069345E">
        <w:rPr>
          <w:b w:val="0"/>
          <w:sz w:val="22"/>
          <w:szCs w:val="22"/>
        </w:rPr>
        <w:t>)</w:t>
      </w:r>
      <w:r w:rsidR="00354C33">
        <w:rPr>
          <w:b w:val="0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na</w:t>
      </w:r>
      <w:r w:rsidR="00664582" w:rsidRPr="0069345E">
        <w:rPr>
          <w:rFonts w:eastAsia="Times New Roman"/>
          <w:sz w:val="22"/>
          <w:szCs w:val="22"/>
        </w:rPr>
        <w:t xml:space="preserve"> prevod vlastníctva nehnuteľného majetku </w:t>
      </w:r>
      <w:r w:rsidR="00664582" w:rsidRPr="003D4087">
        <w:rPr>
          <w:rFonts w:eastAsia="Times New Roman"/>
          <w:b w:val="0"/>
          <w:sz w:val="22"/>
          <w:szCs w:val="22"/>
        </w:rPr>
        <w:t>(ďalej len „NM“)</w:t>
      </w:r>
      <w:r w:rsidR="00664582" w:rsidRPr="0069345E">
        <w:rPr>
          <w:rFonts w:eastAsia="Times New Roman"/>
          <w:sz w:val="22"/>
          <w:szCs w:val="22"/>
        </w:rPr>
        <w:t xml:space="preserve"> </w:t>
      </w:r>
      <w:r w:rsidR="0069345E" w:rsidRPr="0069345E">
        <w:rPr>
          <w:rFonts w:eastAsia="Times New Roman"/>
          <w:sz w:val="22"/>
          <w:szCs w:val="22"/>
        </w:rPr>
        <w:t xml:space="preserve">Slovenskej republiky </w:t>
      </w:r>
      <w:r w:rsidR="0069345E" w:rsidRPr="003D4087">
        <w:rPr>
          <w:rFonts w:eastAsia="Times New Roman"/>
          <w:b w:val="0"/>
          <w:sz w:val="22"/>
          <w:szCs w:val="22"/>
        </w:rPr>
        <w:t>(ďalej len „SR“)</w:t>
      </w:r>
      <w:r w:rsidR="0069345E" w:rsidRPr="0069345E">
        <w:rPr>
          <w:rFonts w:eastAsia="Times New Roman"/>
          <w:sz w:val="22"/>
          <w:szCs w:val="22"/>
        </w:rPr>
        <w:t xml:space="preserve"> v správe Okresného úradu Trnava </w:t>
      </w:r>
      <w:r w:rsidR="0069345E" w:rsidRPr="003D4087">
        <w:rPr>
          <w:rFonts w:eastAsia="Times New Roman"/>
          <w:b w:val="0"/>
          <w:sz w:val="22"/>
          <w:szCs w:val="22"/>
        </w:rPr>
        <w:t>(ďalej len „OU TT“)</w:t>
      </w:r>
      <w:r w:rsidR="0069345E" w:rsidRPr="0069345E">
        <w:rPr>
          <w:rFonts w:eastAsia="Times New Roman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podľa  § 8</w:t>
      </w:r>
      <w:r w:rsidR="008D5445" w:rsidRPr="0069345E">
        <w:rPr>
          <w:sz w:val="22"/>
          <w:szCs w:val="22"/>
        </w:rPr>
        <w:t xml:space="preserve">aa </w:t>
      </w:r>
      <w:r w:rsidR="008B7F9D">
        <w:rPr>
          <w:sz w:val="22"/>
          <w:szCs w:val="22"/>
        </w:rPr>
        <w:t xml:space="preserve">zákona </w:t>
      </w:r>
      <w:r w:rsidR="00D05FB5" w:rsidRPr="0069345E">
        <w:rPr>
          <w:sz w:val="22"/>
          <w:szCs w:val="22"/>
        </w:rPr>
        <w:t xml:space="preserve">č. </w:t>
      </w:r>
      <w:proofErr w:type="gramStart"/>
      <w:r w:rsidR="00D05FB5" w:rsidRPr="0069345E">
        <w:rPr>
          <w:sz w:val="22"/>
          <w:szCs w:val="22"/>
        </w:rPr>
        <w:t>278/1993 Z. z. o správe</w:t>
      </w:r>
      <w:proofErr w:type="gramEnd"/>
      <w:r w:rsidR="00D05FB5" w:rsidRPr="0069345E">
        <w:rPr>
          <w:sz w:val="22"/>
          <w:szCs w:val="22"/>
        </w:rPr>
        <w:t xml:space="preserve"> majetku štátu v znení neskorších predpisov </w:t>
      </w:r>
    </w:p>
    <w:p w:rsidR="007E75A4" w:rsidRPr="00CC455E" w:rsidRDefault="007E75A4" w:rsidP="007E75A4">
      <w:pPr>
        <w:tabs>
          <w:tab w:val="left" w:pos="1536"/>
        </w:tabs>
        <w:jc w:val="center"/>
      </w:pPr>
    </w:p>
    <w:p w:rsidR="00524AA1" w:rsidRDefault="00524AA1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1. Miesto a čas vyhodnotenia:</w:t>
      </w: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t>Okresný úrad Trnava, Kollárova 8, 917 02 Trnava</w:t>
      </w:r>
    </w:p>
    <w:p w:rsidR="0062128A" w:rsidRPr="00CC455E" w:rsidRDefault="008A5F74" w:rsidP="007E75A4">
      <w:pPr>
        <w:tabs>
          <w:tab w:val="left" w:pos="348"/>
          <w:tab w:val="left" w:pos="1536"/>
        </w:tabs>
      </w:pPr>
      <w:r w:rsidRPr="00CC455E">
        <w:t>Miestnosť č. 5</w:t>
      </w:r>
      <w:r w:rsidR="00CC455E" w:rsidRPr="00CC455E">
        <w:t>12</w:t>
      </w:r>
      <w:r w:rsidRPr="00CC455E">
        <w:t xml:space="preserve">, dňa </w:t>
      </w:r>
      <w:r w:rsidR="00E52810">
        <w:t>1</w:t>
      </w:r>
      <w:r w:rsidR="00893DC4">
        <w:t>8</w:t>
      </w:r>
      <w:bookmarkStart w:id="0" w:name="_GoBack"/>
      <w:bookmarkEnd w:id="0"/>
      <w:r w:rsidR="00D26049">
        <w:t>.</w:t>
      </w:r>
      <w:r w:rsidR="00471908">
        <w:t>11</w:t>
      </w:r>
      <w:r w:rsidR="004F5B08">
        <w:t>.202</w:t>
      </w:r>
      <w:r w:rsidR="00E52810">
        <w:t>5</w:t>
      </w:r>
      <w:r w:rsidR="00287017" w:rsidRPr="00CC455E">
        <w:t>,</w:t>
      </w:r>
      <w:r w:rsidR="00E44B12" w:rsidRPr="00CC455E">
        <w:t xml:space="preserve"> </w:t>
      </w:r>
      <w:r w:rsidRPr="00CC455E">
        <w:t xml:space="preserve">čas </w:t>
      </w:r>
      <w:r w:rsidR="00E52810">
        <w:t>08</w:t>
      </w:r>
      <w:r w:rsidR="000754F2" w:rsidRPr="00CC455E">
        <w:t>:</w:t>
      </w:r>
      <w:r w:rsidR="00AC78D1">
        <w:t>00</w:t>
      </w:r>
      <w:r w:rsidRPr="00CC455E">
        <w:t xml:space="preserve"> hod.</w:t>
      </w:r>
      <w:r w:rsidR="00EC522B" w:rsidRPr="00CC455E">
        <w:t xml:space="preserve"> 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2. Komisia:</w:t>
      </w:r>
    </w:p>
    <w:p w:rsidR="007E75A4" w:rsidRPr="00CC455E" w:rsidRDefault="007E75A4" w:rsidP="007E75A4">
      <w:pPr>
        <w:tabs>
          <w:tab w:val="left" w:pos="348"/>
          <w:tab w:val="left" w:pos="1536"/>
        </w:tabs>
      </w:pPr>
      <w:r w:rsidRPr="00CC455E">
        <w:tab/>
      </w:r>
      <w:r w:rsidR="008A5F74" w:rsidRPr="00CC455E">
        <w:t>Ing</w:t>
      </w:r>
      <w:r w:rsidR="003E448F" w:rsidRPr="00CC455E">
        <w:t xml:space="preserve">. Ingrid Šabršulová </w:t>
      </w:r>
      <w:r w:rsidR="008A5F74" w:rsidRPr="00CC455E">
        <w:t>– predseda</w:t>
      </w:r>
    </w:p>
    <w:p w:rsidR="003E448F" w:rsidRPr="00CC455E" w:rsidRDefault="008A5F74" w:rsidP="003E448F">
      <w:pPr>
        <w:tabs>
          <w:tab w:val="left" w:pos="348"/>
          <w:tab w:val="left" w:pos="1536"/>
        </w:tabs>
      </w:pPr>
      <w:r w:rsidRPr="00CC455E">
        <w:t xml:space="preserve">    </w:t>
      </w:r>
      <w:r w:rsidR="0062128A" w:rsidRPr="00CC455E">
        <w:t xml:space="preserve">  </w:t>
      </w:r>
      <w:r w:rsidR="00543BCE">
        <w:t>Mgr. Monika Fančovič</w:t>
      </w:r>
      <w:r w:rsidR="00543BCE" w:rsidRPr="00177381">
        <w:t>ová</w:t>
      </w:r>
      <w:r w:rsidR="00543BCE" w:rsidRPr="00CC455E">
        <w:t xml:space="preserve"> </w:t>
      </w:r>
      <w:r w:rsidR="003E448F" w:rsidRPr="00CC455E">
        <w:t>– člen</w:t>
      </w:r>
    </w:p>
    <w:p w:rsidR="003E448F" w:rsidRPr="00CC455E" w:rsidRDefault="003E448F" w:rsidP="007E75A4">
      <w:pPr>
        <w:tabs>
          <w:tab w:val="left" w:pos="348"/>
          <w:tab w:val="left" w:pos="1536"/>
        </w:tabs>
      </w:pPr>
      <w:r w:rsidRPr="00CC455E">
        <w:t xml:space="preserve">      </w:t>
      </w:r>
      <w:r w:rsidR="0062128A" w:rsidRPr="00CC455E">
        <w:t>Ing.</w:t>
      </w:r>
      <w:r w:rsidRPr="00CC455E">
        <w:t xml:space="preserve"> Ivana Mészárosová </w:t>
      </w:r>
      <w:r w:rsidR="008A5F74" w:rsidRPr="00CC455E">
        <w:t>– člen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rPr>
          <w:b/>
        </w:rPr>
        <w:t xml:space="preserve">3. Predmet </w:t>
      </w:r>
      <w:r w:rsidR="004F5B08">
        <w:rPr>
          <w:b/>
        </w:rPr>
        <w:t>I. kola „VEA“</w:t>
      </w:r>
      <w:r w:rsidRPr="00CC455E">
        <w:rPr>
          <w:b/>
        </w:rPr>
        <w:t>:</w:t>
      </w:r>
    </w:p>
    <w:p w:rsidR="00E52810" w:rsidRPr="00280B47" w:rsidRDefault="00035764" w:rsidP="00E52810">
      <w:pPr>
        <w:ind w:firstLine="708"/>
        <w:jc w:val="both"/>
        <w:rPr>
          <w:rFonts w:eastAsia="Times New Roman" w:cs="Times New Roman"/>
          <w:lang w:eastAsia="sk-SK"/>
        </w:rPr>
      </w:pPr>
      <w:r w:rsidRPr="00CC455E">
        <w:t xml:space="preserve">Prebytočný </w:t>
      </w:r>
      <w:r w:rsidR="00664582">
        <w:t xml:space="preserve">„NM“ „SR“ </w:t>
      </w:r>
      <w:r w:rsidR="00CC455E">
        <w:rPr>
          <w:rFonts w:eastAsia="Times New Roman" w:cs="Times New Roman"/>
          <w:lang w:eastAsia="sk-SK"/>
        </w:rPr>
        <w:t>v </w:t>
      </w:r>
      <w:r w:rsidR="00380847">
        <w:t xml:space="preserve">dočasnej správe „OU TT“ </w:t>
      </w:r>
      <w:r w:rsidR="00380847" w:rsidRPr="00177381">
        <w:rPr>
          <w:rFonts w:eastAsia="Times New Roman" w:cs="Times New Roman"/>
          <w:lang w:eastAsia="sk-SK"/>
        </w:rPr>
        <w:t xml:space="preserve">evidovaného v </w:t>
      </w:r>
      <w:r w:rsidR="00E52810" w:rsidRPr="00280B47">
        <w:rPr>
          <w:rFonts w:eastAsia="Times New Roman" w:cs="Times New Roman"/>
          <w:b/>
          <w:lang w:eastAsia="sk-SK"/>
        </w:rPr>
        <w:t>k. ú. Galanta</w:t>
      </w:r>
      <w:r w:rsidR="00E52810" w:rsidRPr="00177381">
        <w:rPr>
          <w:rFonts w:eastAsia="Times New Roman" w:cs="Times New Roman"/>
          <w:lang w:eastAsia="sk-SK"/>
        </w:rPr>
        <w:t>, obci</w:t>
      </w:r>
      <w:r w:rsidR="00E52810" w:rsidRPr="00280B47">
        <w:rPr>
          <w:rFonts w:eastAsia="Times New Roman" w:cs="Times New Roman"/>
          <w:lang w:eastAsia="sk-SK"/>
        </w:rPr>
        <w:t xml:space="preserve"> </w:t>
      </w:r>
      <w:r w:rsidR="00E52810">
        <w:rPr>
          <w:rFonts w:eastAsia="Times New Roman" w:cs="Times New Roman"/>
          <w:lang w:eastAsia="sk-SK"/>
        </w:rPr>
        <w:t>Galanta</w:t>
      </w:r>
      <w:r w:rsidR="00E52810" w:rsidRPr="00177381">
        <w:rPr>
          <w:rFonts w:eastAsia="Times New Roman" w:cs="Times New Roman"/>
          <w:lang w:eastAsia="sk-SK"/>
        </w:rPr>
        <w:t xml:space="preserve">, okrese Galanta, na liste vlastníctva č. </w:t>
      </w:r>
      <w:r w:rsidR="00E52810">
        <w:rPr>
          <w:rFonts w:eastAsia="Times New Roman" w:cs="Times New Roman"/>
          <w:lang w:eastAsia="sk-SK"/>
        </w:rPr>
        <w:t>619</w:t>
      </w:r>
      <w:r w:rsidR="00E52810" w:rsidRPr="00177381">
        <w:rPr>
          <w:rFonts w:eastAsia="Times New Roman" w:cs="Times New Roman"/>
          <w:lang w:eastAsia="sk-SK"/>
        </w:rPr>
        <w:t xml:space="preserve">, </w:t>
      </w:r>
      <w:r w:rsidR="00E52810" w:rsidRPr="00280B47">
        <w:rPr>
          <w:rFonts w:eastAsia="Times New Roman" w:cs="Times New Roman"/>
          <w:lang w:eastAsia="sk-SK"/>
        </w:rPr>
        <w:t xml:space="preserve">a to spoluvlastníckeho podielu „SR“ </w:t>
      </w:r>
      <w:r w:rsidR="00E52810" w:rsidRPr="00280B47">
        <w:rPr>
          <w:rFonts w:eastAsia="Times New Roman" w:cs="Times New Roman"/>
          <w:b/>
          <w:lang w:eastAsia="sk-SK"/>
        </w:rPr>
        <w:t>1/2</w:t>
      </w:r>
      <w:r w:rsidR="00E52810" w:rsidRPr="00280B47">
        <w:rPr>
          <w:rFonts w:eastAsia="Times New Roman" w:cs="Times New Roman"/>
          <w:lang w:eastAsia="sk-SK"/>
        </w:rPr>
        <w:t xml:space="preserve"> na:</w:t>
      </w:r>
    </w:p>
    <w:p w:rsidR="00E52810" w:rsidRDefault="00E52810" w:rsidP="00E52810">
      <w:pPr>
        <w:ind w:firstLine="708"/>
        <w:jc w:val="both"/>
      </w:pPr>
    </w:p>
    <w:p w:rsidR="00E52810" w:rsidRDefault="00E52810" w:rsidP="00E52810">
      <w:pPr>
        <w:numPr>
          <w:ilvl w:val="0"/>
          <w:numId w:val="6"/>
        </w:numPr>
        <w:jc w:val="both"/>
      </w:pPr>
      <w:r w:rsidRPr="003B0C21">
        <w:rPr>
          <w:b/>
        </w:rPr>
        <w:t>parcele</w:t>
      </w:r>
      <w:r w:rsidRPr="00C22DFF">
        <w:t xml:space="preserve"> reg.</w:t>
      </w:r>
      <w:r w:rsidRPr="003B0C21">
        <w:rPr>
          <w:b/>
        </w:rPr>
        <w:t xml:space="preserve"> C</w:t>
      </w:r>
      <w:r w:rsidRPr="00C22DFF">
        <w:t xml:space="preserve"> KN č. </w:t>
      </w:r>
      <w:r>
        <w:rPr>
          <w:b/>
        </w:rPr>
        <w:t>1746/20</w:t>
      </w:r>
      <w:r w:rsidRPr="00C22DFF">
        <w:t xml:space="preserve"> o výmere </w:t>
      </w:r>
      <w:r>
        <w:t>19</w:t>
      </w:r>
      <w:r w:rsidRPr="00C22DFF">
        <w:t xml:space="preserve"> m2 druhu </w:t>
      </w:r>
      <w:r>
        <w:t>zastavaná plocha a nádvorie,</w:t>
      </w:r>
    </w:p>
    <w:p w:rsidR="00E52810" w:rsidRDefault="00E52810" w:rsidP="00E52810">
      <w:pPr>
        <w:numPr>
          <w:ilvl w:val="0"/>
          <w:numId w:val="6"/>
        </w:numPr>
        <w:jc w:val="both"/>
      </w:pPr>
      <w:r w:rsidRPr="003B0C21">
        <w:rPr>
          <w:b/>
        </w:rPr>
        <w:t>stavbe</w:t>
      </w:r>
      <w:r>
        <w:t xml:space="preserve"> – garáži – </w:t>
      </w:r>
      <w:r w:rsidRPr="003B0C21">
        <w:rPr>
          <w:b/>
        </w:rPr>
        <w:t>s. č. 1967</w:t>
      </w:r>
      <w:r>
        <w:t xml:space="preserve"> na p. č. 1746/20.</w:t>
      </w:r>
    </w:p>
    <w:p w:rsidR="00E52810" w:rsidRPr="00177381" w:rsidRDefault="00E52810" w:rsidP="00E52810">
      <w:pPr>
        <w:rPr>
          <w:rFonts w:eastAsia="Times New Roman" w:cs="Times New Roman"/>
          <w:lang w:eastAsia="sk-SK"/>
        </w:rPr>
      </w:pPr>
    </w:p>
    <w:p w:rsidR="00E52810" w:rsidRPr="00177381" w:rsidRDefault="00E52810" w:rsidP="00E52810">
      <w:pPr>
        <w:jc w:val="both"/>
      </w:pPr>
      <w:r w:rsidRPr="00177381">
        <w:rPr>
          <w:rFonts w:eastAsia="Times New Roman" w:cs="Times New Roman"/>
          <w:lang w:eastAsia="sk-SK"/>
        </w:rPr>
        <w:tab/>
        <w:t xml:space="preserve">Ponuka bola zverejnená v registri vedenom Ministerstvom financií </w:t>
      </w:r>
      <w:r>
        <w:rPr>
          <w:rFonts w:eastAsia="Times New Roman" w:cs="Times New Roman"/>
          <w:lang w:eastAsia="sk-SK"/>
        </w:rPr>
        <w:t>„</w:t>
      </w:r>
      <w:r w:rsidRPr="00177381">
        <w:rPr>
          <w:rFonts w:eastAsia="Times New Roman" w:cs="Times New Roman"/>
          <w:lang w:eastAsia="sk-SK"/>
        </w:rPr>
        <w:t>SR</w:t>
      </w:r>
      <w:r>
        <w:rPr>
          <w:rFonts w:eastAsia="Times New Roman" w:cs="Times New Roman"/>
          <w:lang w:eastAsia="sk-SK"/>
        </w:rPr>
        <w:t>“</w:t>
      </w:r>
      <w:r w:rsidRPr="00177381">
        <w:rPr>
          <w:rFonts w:eastAsia="Times New Roman" w:cs="Times New Roman"/>
          <w:lang w:eastAsia="sk-SK"/>
        </w:rPr>
        <w:t xml:space="preserve"> dňa </w:t>
      </w:r>
      <w:r>
        <w:rPr>
          <w:rFonts w:eastAsia="Times New Roman" w:cs="Times New Roman"/>
          <w:lang w:eastAsia="sk-SK"/>
        </w:rPr>
        <w:t>1</w:t>
      </w:r>
      <w:r w:rsidRPr="00177381">
        <w:rPr>
          <w:rFonts w:eastAsia="Times New Roman" w:cs="Times New Roman"/>
          <w:lang w:eastAsia="sk-SK"/>
        </w:rPr>
        <w:t>4.10.202</w:t>
      </w:r>
      <w:r>
        <w:rPr>
          <w:rFonts w:eastAsia="Times New Roman" w:cs="Times New Roman"/>
          <w:lang w:eastAsia="sk-SK"/>
        </w:rPr>
        <w:t>5</w:t>
      </w:r>
      <w:r w:rsidRPr="00177381">
        <w:rPr>
          <w:rFonts w:eastAsia="Times New Roman" w:cs="Times New Roman"/>
          <w:lang w:eastAsia="sk-SK"/>
        </w:rPr>
        <w:t xml:space="preserve">, lehota na doručovanie ponúk bola od </w:t>
      </w:r>
      <w:r>
        <w:rPr>
          <w:rFonts w:eastAsia="Times New Roman" w:cs="Times New Roman"/>
          <w:lang w:eastAsia="sk-SK"/>
        </w:rPr>
        <w:t>1</w:t>
      </w:r>
      <w:r w:rsidRPr="00177381">
        <w:rPr>
          <w:rFonts w:eastAsia="Times New Roman" w:cs="Times New Roman"/>
          <w:lang w:eastAsia="sk-SK"/>
        </w:rPr>
        <w:t>5.10.202</w:t>
      </w:r>
      <w:r>
        <w:rPr>
          <w:rFonts w:eastAsia="Times New Roman" w:cs="Times New Roman"/>
          <w:lang w:eastAsia="sk-SK"/>
        </w:rPr>
        <w:t>5</w:t>
      </w:r>
      <w:r w:rsidRPr="00177381">
        <w:rPr>
          <w:rFonts w:eastAsia="Times New Roman" w:cs="Times New Roman"/>
          <w:lang w:eastAsia="sk-SK"/>
        </w:rPr>
        <w:t xml:space="preserve"> do </w:t>
      </w:r>
      <w:r>
        <w:rPr>
          <w:rFonts w:eastAsia="Times New Roman" w:cs="Times New Roman"/>
          <w:lang w:eastAsia="sk-SK"/>
        </w:rPr>
        <w:t>14.11.2025</w:t>
      </w:r>
      <w:r w:rsidRPr="00177381">
        <w:rPr>
          <w:rFonts w:eastAsia="Times New Roman" w:cs="Times New Roman"/>
          <w:lang w:eastAsia="sk-SK"/>
        </w:rPr>
        <w:t xml:space="preserve">. </w:t>
      </w:r>
      <w:r w:rsidRPr="00177381">
        <w:t xml:space="preserve">Primeraná cena ponúkaného „NM“ „SR“ bola </w:t>
      </w:r>
      <w:r w:rsidRPr="00543BCE">
        <w:rPr>
          <w:b/>
        </w:rPr>
        <w:t>10700,- EUR</w:t>
      </w:r>
      <w:r w:rsidRPr="00177381">
        <w:t>.</w:t>
      </w:r>
    </w:p>
    <w:p w:rsidR="003F7F49" w:rsidRDefault="003F7F49" w:rsidP="00E72F9A">
      <w:pPr>
        <w:tabs>
          <w:tab w:val="left" w:pos="348"/>
          <w:tab w:val="left" w:pos="1536"/>
        </w:tabs>
        <w:rPr>
          <w:b/>
        </w:rPr>
      </w:pPr>
    </w:p>
    <w:p w:rsidR="00E72F9A" w:rsidRPr="008B1782" w:rsidRDefault="00712712" w:rsidP="00E72F9A">
      <w:pPr>
        <w:tabs>
          <w:tab w:val="left" w:pos="348"/>
          <w:tab w:val="left" w:pos="1536"/>
        </w:tabs>
        <w:rPr>
          <w:b/>
        </w:rPr>
      </w:pPr>
      <w:r w:rsidRPr="008B1782">
        <w:rPr>
          <w:b/>
        </w:rPr>
        <w:t xml:space="preserve">4. Vyhodnotenie </w:t>
      </w:r>
      <w:r w:rsidR="004F5B08">
        <w:rPr>
          <w:b/>
        </w:rPr>
        <w:t>I. kola „VEA“</w:t>
      </w:r>
      <w:r w:rsidR="008B1782" w:rsidRPr="008B1782">
        <w:rPr>
          <w:b/>
        </w:rPr>
        <w:t>:</w:t>
      </w:r>
    </w:p>
    <w:p w:rsidR="00B6256E" w:rsidRDefault="008B1782" w:rsidP="00CE3A57">
      <w:pPr>
        <w:tabs>
          <w:tab w:val="left" w:pos="348"/>
          <w:tab w:val="left" w:pos="1536"/>
        </w:tabs>
        <w:jc w:val="both"/>
      </w:pPr>
      <w:r w:rsidRPr="008B1782">
        <w:t xml:space="preserve">Na </w:t>
      </w:r>
      <w:r w:rsidR="00664582">
        <w:t>„OU TT“</w:t>
      </w:r>
      <w:r w:rsidRPr="008B1782">
        <w:t xml:space="preserve"> </w:t>
      </w:r>
      <w:r w:rsidR="004F5B08">
        <w:t xml:space="preserve">neboli </w:t>
      </w:r>
      <w:r w:rsidR="00664582">
        <w:t xml:space="preserve">v stanovenej lehote </w:t>
      </w:r>
      <w:r w:rsidRPr="008B1782">
        <w:t xml:space="preserve">doručené </w:t>
      </w:r>
      <w:r w:rsidR="004F5B08">
        <w:t xml:space="preserve">žiadne </w:t>
      </w:r>
      <w:r w:rsidRPr="008B1782">
        <w:t xml:space="preserve">cenové ponuky </w:t>
      </w:r>
      <w:r w:rsidR="00BE4A5E">
        <w:t xml:space="preserve">záujemcov </w:t>
      </w:r>
      <w:r w:rsidRPr="008B1782">
        <w:t xml:space="preserve">o kúpu </w:t>
      </w:r>
      <w:r w:rsidR="00664582">
        <w:t>„NM“</w:t>
      </w:r>
      <w:r w:rsidR="00AC78D1">
        <w:t xml:space="preserve"> „SR“</w:t>
      </w:r>
      <w:r w:rsidR="004F5B08">
        <w:t xml:space="preserve">. </w:t>
      </w:r>
      <w:r w:rsidR="00CC455E">
        <w:t xml:space="preserve">Komisia skonštatovala, že </w:t>
      </w:r>
      <w:r w:rsidR="00C4454E">
        <w:t xml:space="preserve">I. kolo </w:t>
      </w:r>
      <w:r w:rsidR="004F5B08">
        <w:t xml:space="preserve">„VEA“ </w:t>
      </w:r>
      <w:r w:rsidR="00CC455E">
        <w:t xml:space="preserve">bolo </w:t>
      </w:r>
      <w:r w:rsidR="004F5B08">
        <w:t>ne</w:t>
      </w:r>
      <w:r w:rsidR="00CC455E">
        <w:t>úspešné</w:t>
      </w:r>
      <w:r w:rsidR="004F5B08">
        <w:t xml:space="preserve"> a </w:t>
      </w:r>
      <w:proofErr w:type="spellStart"/>
      <w:r w:rsidR="00322756">
        <w:t>do</w:t>
      </w:r>
      <w:r w:rsidR="004F5B08">
        <w:t>poručila</w:t>
      </w:r>
      <w:proofErr w:type="spellEnd"/>
      <w:r w:rsidR="004F5B08">
        <w:t xml:space="preserve"> ponúknuť „</w:t>
      </w:r>
      <w:r w:rsidR="00664582">
        <w:t>NM</w:t>
      </w:r>
      <w:r w:rsidR="004F5B08">
        <w:t xml:space="preserve">“ </w:t>
      </w:r>
      <w:r w:rsidR="00380847">
        <w:t xml:space="preserve">„SR“ </w:t>
      </w:r>
      <w:r w:rsidR="004F5B08">
        <w:t>v </w:t>
      </w:r>
      <w:r w:rsidR="003E03C1">
        <w:t xml:space="preserve"> </w:t>
      </w:r>
      <w:r w:rsidR="004F5B08">
        <w:t>II. kole „VEA“ v primeranej cene zníženej o 10%</w:t>
      </w:r>
      <w:r w:rsidR="0089002B">
        <w:t>.</w:t>
      </w:r>
    </w:p>
    <w:p w:rsidR="00B6256E" w:rsidRDefault="00B6256E" w:rsidP="00CE3A57">
      <w:pPr>
        <w:tabs>
          <w:tab w:val="left" w:pos="348"/>
          <w:tab w:val="left" w:pos="1536"/>
        </w:tabs>
        <w:jc w:val="both"/>
      </w:pPr>
    </w:p>
    <w:p w:rsidR="00821493" w:rsidRDefault="00821493" w:rsidP="00292891"/>
    <w:p w:rsidR="007E75A4" w:rsidRPr="00B6256E" w:rsidRDefault="00292891" w:rsidP="00292891">
      <w:r w:rsidRPr="00B6256E">
        <w:t xml:space="preserve">Zapísala: </w:t>
      </w:r>
      <w:r w:rsidR="00D17A58" w:rsidRPr="00B6256E">
        <w:t>Mgr. Monika Fančovičová</w:t>
      </w:r>
    </w:p>
    <w:p w:rsidR="00292891" w:rsidRPr="00B6256E" w:rsidRDefault="00292891" w:rsidP="00292891"/>
    <w:sectPr w:rsidR="00292891" w:rsidRPr="00B6256E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0E" w:rsidRDefault="0052760E" w:rsidP="00DE0918">
      <w:r>
        <w:separator/>
      </w:r>
    </w:p>
  </w:endnote>
  <w:endnote w:type="continuationSeparator" w:id="0">
    <w:p w:rsidR="0052760E" w:rsidRDefault="0052760E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992"/>
      <w:gridCol w:w="2410"/>
      <w:gridCol w:w="974"/>
      <w:gridCol w:w="1719"/>
    </w:tblGrid>
    <w:tr w:rsidR="008C2CF2" w:rsidRPr="008C2CF2" w:rsidTr="008B1782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15D76331" wp14:editId="03051EC1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992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974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8B1782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992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974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0E" w:rsidRDefault="0052760E" w:rsidP="00DE0918">
      <w:r>
        <w:separator/>
      </w:r>
    </w:p>
  </w:footnote>
  <w:footnote w:type="continuationSeparator" w:id="0">
    <w:p w:rsidR="0052760E" w:rsidRDefault="0052760E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40"/>
    <w:multiLevelType w:val="hybridMultilevel"/>
    <w:tmpl w:val="EDF46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A6610"/>
    <w:multiLevelType w:val="hybridMultilevel"/>
    <w:tmpl w:val="7892D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74E07"/>
    <w:multiLevelType w:val="hybridMultilevel"/>
    <w:tmpl w:val="62CE0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18"/>
    <w:rsid w:val="00001BDF"/>
    <w:rsid w:val="00016043"/>
    <w:rsid w:val="00035764"/>
    <w:rsid w:val="000403CB"/>
    <w:rsid w:val="0004580E"/>
    <w:rsid w:val="0007245E"/>
    <w:rsid w:val="000754F2"/>
    <w:rsid w:val="000922AA"/>
    <w:rsid w:val="00092C38"/>
    <w:rsid w:val="00142050"/>
    <w:rsid w:val="00162CC3"/>
    <w:rsid w:val="001638F5"/>
    <w:rsid w:val="00184216"/>
    <w:rsid w:val="00186FFE"/>
    <w:rsid w:val="001A6B8F"/>
    <w:rsid w:val="001B0077"/>
    <w:rsid w:val="001D3BE7"/>
    <w:rsid w:val="001D3C6F"/>
    <w:rsid w:val="00260789"/>
    <w:rsid w:val="00287017"/>
    <w:rsid w:val="00292891"/>
    <w:rsid w:val="0031192D"/>
    <w:rsid w:val="003155DF"/>
    <w:rsid w:val="0032159A"/>
    <w:rsid w:val="00322756"/>
    <w:rsid w:val="0033139D"/>
    <w:rsid w:val="00353318"/>
    <w:rsid w:val="00354C33"/>
    <w:rsid w:val="003629A1"/>
    <w:rsid w:val="00366A60"/>
    <w:rsid w:val="00380847"/>
    <w:rsid w:val="00387679"/>
    <w:rsid w:val="003B33E6"/>
    <w:rsid w:val="003D4087"/>
    <w:rsid w:val="003E03C1"/>
    <w:rsid w:val="003E448F"/>
    <w:rsid w:val="003F3ECB"/>
    <w:rsid w:val="003F7A1D"/>
    <w:rsid w:val="003F7F49"/>
    <w:rsid w:val="00424553"/>
    <w:rsid w:val="00446EBD"/>
    <w:rsid w:val="00450571"/>
    <w:rsid w:val="00452A2E"/>
    <w:rsid w:val="00471908"/>
    <w:rsid w:val="004757F6"/>
    <w:rsid w:val="004869D0"/>
    <w:rsid w:val="004A1A46"/>
    <w:rsid w:val="004B32C6"/>
    <w:rsid w:val="004B6060"/>
    <w:rsid w:val="004F5B08"/>
    <w:rsid w:val="004F6116"/>
    <w:rsid w:val="00520929"/>
    <w:rsid w:val="0052391C"/>
    <w:rsid w:val="00524AA1"/>
    <w:rsid w:val="0052760E"/>
    <w:rsid w:val="00533BC4"/>
    <w:rsid w:val="0053717F"/>
    <w:rsid w:val="00543BCE"/>
    <w:rsid w:val="00545202"/>
    <w:rsid w:val="00554B73"/>
    <w:rsid w:val="00581B83"/>
    <w:rsid w:val="005B7A90"/>
    <w:rsid w:val="005D7C4B"/>
    <w:rsid w:val="005F2E2D"/>
    <w:rsid w:val="005F479B"/>
    <w:rsid w:val="00615B7E"/>
    <w:rsid w:val="00620645"/>
    <w:rsid w:val="0062128A"/>
    <w:rsid w:val="00630518"/>
    <w:rsid w:val="0063195A"/>
    <w:rsid w:val="00635409"/>
    <w:rsid w:val="00647ECC"/>
    <w:rsid w:val="006538DA"/>
    <w:rsid w:val="00654673"/>
    <w:rsid w:val="00663608"/>
    <w:rsid w:val="00664582"/>
    <w:rsid w:val="0069345E"/>
    <w:rsid w:val="006A5B83"/>
    <w:rsid w:val="006D1EC8"/>
    <w:rsid w:val="006E5077"/>
    <w:rsid w:val="006F2830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F1FE2"/>
    <w:rsid w:val="00812035"/>
    <w:rsid w:val="00813DCD"/>
    <w:rsid w:val="00821493"/>
    <w:rsid w:val="00836A0D"/>
    <w:rsid w:val="008604DE"/>
    <w:rsid w:val="00864533"/>
    <w:rsid w:val="008852FA"/>
    <w:rsid w:val="0089002B"/>
    <w:rsid w:val="00893DC4"/>
    <w:rsid w:val="008A5F74"/>
    <w:rsid w:val="008A6084"/>
    <w:rsid w:val="008B1782"/>
    <w:rsid w:val="008B4C5B"/>
    <w:rsid w:val="008B7F9D"/>
    <w:rsid w:val="008C2CF2"/>
    <w:rsid w:val="008D5445"/>
    <w:rsid w:val="008F021C"/>
    <w:rsid w:val="0090188C"/>
    <w:rsid w:val="0091080D"/>
    <w:rsid w:val="00937CA6"/>
    <w:rsid w:val="00943287"/>
    <w:rsid w:val="00946E8E"/>
    <w:rsid w:val="00947D34"/>
    <w:rsid w:val="00984E86"/>
    <w:rsid w:val="009942D3"/>
    <w:rsid w:val="00996771"/>
    <w:rsid w:val="009B277F"/>
    <w:rsid w:val="00A211F9"/>
    <w:rsid w:val="00A23601"/>
    <w:rsid w:val="00A25A68"/>
    <w:rsid w:val="00A61D56"/>
    <w:rsid w:val="00A96AA9"/>
    <w:rsid w:val="00AC78D1"/>
    <w:rsid w:val="00B15C2C"/>
    <w:rsid w:val="00B17213"/>
    <w:rsid w:val="00B243DB"/>
    <w:rsid w:val="00B32BD1"/>
    <w:rsid w:val="00B3390F"/>
    <w:rsid w:val="00B4674A"/>
    <w:rsid w:val="00B60400"/>
    <w:rsid w:val="00B6256E"/>
    <w:rsid w:val="00B765A8"/>
    <w:rsid w:val="00B805AE"/>
    <w:rsid w:val="00B92087"/>
    <w:rsid w:val="00B96313"/>
    <w:rsid w:val="00BB0ED2"/>
    <w:rsid w:val="00BC1CA1"/>
    <w:rsid w:val="00BE291D"/>
    <w:rsid w:val="00BE4A5E"/>
    <w:rsid w:val="00BF27B3"/>
    <w:rsid w:val="00C03979"/>
    <w:rsid w:val="00C23793"/>
    <w:rsid w:val="00C24DBF"/>
    <w:rsid w:val="00C24DEB"/>
    <w:rsid w:val="00C274C2"/>
    <w:rsid w:val="00C412F4"/>
    <w:rsid w:val="00C4454E"/>
    <w:rsid w:val="00C50F7F"/>
    <w:rsid w:val="00CB1F22"/>
    <w:rsid w:val="00CB77B0"/>
    <w:rsid w:val="00CC455E"/>
    <w:rsid w:val="00CC706C"/>
    <w:rsid w:val="00CE3A57"/>
    <w:rsid w:val="00CE4A48"/>
    <w:rsid w:val="00CF47E4"/>
    <w:rsid w:val="00D02853"/>
    <w:rsid w:val="00D05FB5"/>
    <w:rsid w:val="00D17A58"/>
    <w:rsid w:val="00D26049"/>
    <w:rsid w:val="00D4774F"/>
    <w:rsid w:val="00D61D80"/>
    <w:rsid w:val="00D81435"/>
    <w:rsid w:val="00DD0537"/>
    <w:rsid w:val="00DE0918"/>
    <w:rsid w:val="00E16C96"/>
    <w:rsid w:val="00E44B12"/>
    <w:rsid w:val="00E52810"/>
    <w:rsid w:val="00E627AA"/>
    <w:rsid w:val="00E72F9A"/>
    <w:rsid w:val="00EC522B"/>
    <w:rsid w:val="00EE540F"/>
    <w:rsid w:val="00F76C5C"/>
    <w:rsid w:val="00F86DE4"/>
    <w:rsid w:val="00F875BC"/>
    <w:rsid w:val="00F87D1E"/>
    <w:rsid w:val="00FC6384"/>
    <w:rsid w:val="00FD2B9B"/>
    <w:rsid w:val="00FD3FE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EFC51"/>
  <w15:docId w15:val="{0AB7D477-9FC3-4369-9CA0-0956F7E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42F8-0338-4FF9-BDB5-6D47D794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10</cp:revision>
  <cp:lastPrinted>2023-11-24T09:01:00Z</cp:lastPrinted>
  <dcterms:created xsi:type="dcterms:W3CDTF">2023-11-23T07:08:00Z</dcterms:created>
  <dcterms:modified xsi:type="dcterms:W3CDTF">2025-11-18T08:56:00Z</dcterms:modified>
</cp:coreProperties>
</file>